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pacing w:before="0" w:after="120"/>
        <w:jc w:val="right"/>
        <w:rPr>
          <w:rFonts w:ascii="Times New Roman" w:hAnsi="Times New Roman" w:eastAsia="Times New Roman" w:cs="Times New Roman"/>
          <w:b w:val="false"/>
          <w:sz w:val="24"/>
          <w:szCs w:val="32"/>
          <w:highlight w:val="none"/>
        </w:rPr>
      </w:pPr>
      <w:r>
        <w:rPr>
          <w:rFonts w:eastAsia="Times New Roman" w:cs="Times New Roman"/>
          <w:b w:val="false"/>
          <w:sz w:val="24"/>
          <w:szCs w:val="32"/>
        </w:rPr>
        <w:t>Приложение №1 к техническим</w:t>
      </w:r>
      <w:r>
        <w:rPr>
          <w:rFonts w:eastAsia="Times New Roman" w:cs="Times New Roman"/>
          <w:b w:val="false"/>
          <w:sz w:val="24"/>
          <w:szCs w:val="32"/>
        </w:rPr>
        <w:t xml:space="preserve"> требованиям</w:t>
      </w:r>
    </w:p>
    <w:p>
      <w:pPr>
        <w:pStyle w:val="Normal"/>
        <w:keepNext w:val="true"/>
        <w:keepLines/>
        <w:spacing w:before="0" w:after="120"/>
        <w:jc w:val="right"/>
        <w:rPr>
          <w:rFonts w:ascii="Times New Roman" w:hAnsi="Times New Roman" w:eastAsia="Times New Roman" w:cs="Times New Roman"/>
          <w:b w:val="false"/>
          <w:sz w:val="24"/>
          <w:szCs w:val="32"/>
        </w:rPr>
      </w:pPr>
      <w:r>
        <w:rPr>
          <w:rFonts w:eastAsia="Times New Roman" w:cs="Times New Roman"/>
          <w:b w:val="false"/>
          <w:sz w:val="24"/>
          <w:szCs w:val="32"/>
        </w:rPr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eastAsia="Times New Roman" w:cs="Times New Roman"/>
          <w:b/>
          <w:sz w:val="24"/>
          <w:szCs w:val="32"/>
        </w:rPr>
        <w:t>Требования к оформлению и составлению документации по ценообразованию</w:t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keepNext w:val="true"/>
        <w:keepLines/>
        <w:spacing w:lineRule="auto" w:line="360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ОКПД2 4</w:t>
      </w:r>
      <w:r>
        <w:rPr>
          <w:sz w:val="22"/>
          <w:szCs w:val="22"/>
          <w:lang w:eastAsia="en-US"/>
        </w:rPr>
        <w:t xml:space="preserve">1.20.40 </w:t>
      </w:r>
      <w:r>
        <w:rPr>
          <w:sz w:val="22"/>
          <w:szCs w:val="22"/>
          <w:lang w:eastAsia="en-US"/>
        </w:rPr>
        <w:t>Выполнение работ по ремонту производственных зданий и сооружений</w:t>
      </w:r>
    </w:p>
    <w:p>
      <w:pPr>
        <w:pStyle w:val="NoSpacing"/>
        <w:spacing w:lineRule="auto" w:line="276"/>
        <w:jc w:val="center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</w:pPr>
      <w:r>
        <w:rPr>
          <w:sz w:val="22"/>
          <w:szCs w:val="22"/>
          <w:lang w:eastAsia="en-US"/>
        </w:rPr>
        <w:t>Комсомольской ТЭЦ-1, Комсомольской ТЭЦ-2, г. Комсомольск-на-Амуре</w:t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eastAsia="Times New Roman" w:cs="Times New Roman"/>
          <w:color w:val="000000"/>
          <w:sz w:val="24"/>
          <w:szCs w:val="24"/>
        </w:rPr>
        <w:t>11029013-РЕМ ПРОД-2026-ДГК-КТЭЦ2</w:t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eastAsia="Times New Roman" w:cs="Times New Roman"/>
          <w:b w:val="false"/>
          <w:bCs w:val="false"/>
          <w:sz w:val="24"/>
          <w:szCs w:val="24"/>
        </w:rPr>
      </w:r>
    </w:p>
    <w:p>
      <w:pPr>
        <w:pStyle w:val="Normal"/>
        <w:spacing w:lineRule="auto" w:line="36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Normal"/>
        <w:spacing w:lineRule="auto" w:line="36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Использование нормативов ценообразования, не зарегистрированных и не вошедших в ФРСН, </w:t>
      </w:r>
      <w:r>
        <w:rPr>
          <w:b/>
          <w:color w:val="000000"/>
          <w:sz w:val="24"/>
          <w:szCs w:val="24"/>
        </w:rPr>
        <w:t>не допускается</w:t>
      </w:r>
      <w:r>
        <w:rPr>
          <w:color w:val="000000"/>
          <w:sz w:val="24"/>
          <w:szCs w:val="24"/>
        </w:rPr>
        <w:t>, кроме случаев, прямо указанных в настоящих требованиях.</w:t>
      </w:r>
    </w:p>
    <w:p>
      <w:pPr>
        <w:pStyle w:val="Normal"/>
        <w:spacing w:lineRule="auto" w:line="360"/>
        <w:ind w:firstLine="709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3. Версия программного комплекса «Гранд-Смета» (далее–ПК «Гранд-смета») </w:t>
      </w:r>
      <w:r>
        <w:rPr>
          <w:color w:val="000000"/>
          <w:sz w:val="24"/>
          <w:szCs w:val="24"/>
          <w:u w:val="single"/>
        </w:rPr>
        <w:t>должна быть не ниже 2021.</w:t>
      </w:r>
    </w:p>
    <w:p>
      <w:pPr>
        <w:pStyle w:val="Normal"/>
        <w:spacing w:lineRule="auto" w:line="36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Normal"/>
        <w:spacing w:lineRule="auto" w:line="3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Определение сметной стоимости работ определяется ресурсно-индексным методом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ресурсно-индексного метода, приводится в локальных сметных расчетах (далее – ЛСР),  в двух уровнях цен: базисном и текущем. Индексы перевода в текущие цены учитывать по данным ФГИС ЦС на 4 квартал 2025 года по Хабаровскому краю (2 зона).</w:t>
      </w:r>
    </w:p>
    <w:p>
      <w:pPr>
        <w:pStyle w:val="Normal"/>
        <w:spacing w:lineRule="auto" w:line="3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составлении сметной документации использовать сметно-нормативную базу ФСНБ -2022 (изм. 1-16) по сборникам ГЭСН.</w:t>
      </w:r>
    </w:p>
    <w:p>
      <w:pPr>
        <w:pStyle w:val="Normal"/>
        <w:spacing w:lineRule="auto" w:line="3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Normal"/>
        <w:spacing w:lineRule="auto" w:line="3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При формировании цены по сборникам ГЭСН (ГЭСНр, ГЭСНм, ГЭСНп) нормативы накладных расходов определяется в процентах от фонда оплаты труда рабочих-строителей и механизаторов (ФОТ) на основе нормативов по видам строительных, ремонтно-строительных и монтажных работ для местностей, приравненных к районам Крайнего Севера (приложение к Методике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утверждённой приказом Министерства строительства и жилищно-коммунального хозяйства РФ от 21.12.2020 № 812/пр).</w:t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color w:val="000000"/>
          <w:sz w:val="24"/>
          <w:szCs w:val="24"/>
        </w:rPr>
        <w:t>8. При формировании цены по сборникам ГЭСН (ГЭСНр, ГЭСНм, ГЭСНп) нормативы сметной прибыли принимать на ремонтно-строительные работы – 30% от фонда оплаты труда рабочих основного производства и механизаторов.</w:t>
      </w:r>
    </w:p>
    <w:sectPr>
      <w:headerReference w:type="even" r:id="rId2"/>
      <w:headerReference w:type="default" r:id="rId3"/>
      <w:headerReference w:type="first" r:id="rId4"/>
      <w:footerReference w:type="default" r:id="rId5"/>
      <w:footerReference w:type="first" r:id="rId6"/>
      <w:type w:val="nextPage"/>
      <w:pgSz w:w="11906" w:h="16838"/>
      <w:pgMar w:left="1275" w:right="851" w:gutter="0" w:header="284" w:top="425" w:footer="309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lef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677"/>
        <w:tab w:val="clear" w:pos="9355"/>
        <w:tab w:val="left" w:pos="5738" w:leader="none"/>
      </w:tabs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uiPriority w:val="99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basedOn w:val="DefaultParagraphFont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Style14" w:customStyle="1">
    <w:name w:val="Нижний колонтитул Знак"/>
    <w:basedOn w:val="DefaultParagraphFont"/>
    <w:uiPriority w:val="99"/>
    <w:qFormat/>
    <w:rPr>
      <w:sz w:val="28"/>
      <w:szCs w:val="2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7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8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13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tabs>
        <w:tab w:val="clear" w:pos="708"/>
        <w:tab w:val="left" w:pos="851" w:leader="none"/>
        <w:tab w:val="right" w:pos="9911" w:leader="dot"/>
      </w:tabs>
      <w:spacing w:before="120" w:after="0"/>
      <w:ind w:left="426" w:hanging="426"/>
    </w:pPr>
    <w:rPr>
      <w:sz w:val="24"/>
    </w:rPr>
  </w:style>
  <w:style w:type="paragraph" w:styleId="TOC3">
    <w:name w:val="TOC 3"/>
    <w:basedOn w:val="Normal"/>
    <w:uiPriority w:val="39"/>
    <w:pPr>
      <w:ind w:left="560" w:hanging="0"/>
    </w:pPr>
    <w:rPr>
      <w:sz w:val="24"/>
    </w:rPr>
  </w:style>
  <w:style w:type="paragraph" w:styleId="Style22" w:customStyle="1">
    <w:name w:val="Раздел регламента"/>
    <w:basedOn w:val="Normal"/>
    <w:qFormat/>
    <w:pPr/>
    <w:rPr/>
  </w:style>
  <w:style w:type="paragraph" w:styleId="Style23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tabs>
        <w:tab w:val="clear" w:pos="708"/>
        <w:tab w:val="left" w:pos="993" w:leader="none"/>
        <w:tab w:val="right" w:pos="9911" w:leader="dot"/>
      </w:tabs>
      <w:spacing w:before="120" w:after="0"/>
      <w:ind w:firstLine="567"/>
    </w:pPr>
    <w:rPr>
      <w:sz w:val="24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uiPriority w:val="99"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2240" w:hanging="0"/>
    </w:pPr>
    <w:rPr/>
  </w:style>
  <w:style w:type="paragraph" w:styleId="TOC5">
    <w:name w:val="TOC 5"/>
    <w:basedOn w:val="Normal"/>
    <w:semiHidden/>
    <w:pPr>
      <w:ind w:left="1120" w:hanging="0"/>
    </w:pPr>
    <w:rPr/>
  </w:style>
  <w:style w:type="paragraph" w:styleId="TOC4">
    <w:name w:val="TOC 4"/>
    <w:basedOn w:val="Normal"/>
    <w:uiPriority w:val="39"/>
    <w:pPr>
      <w:ind w:left="840" w:hanging="0"/>
    </w:pPr>
    <w:rPr/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5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3" w:customStyle="1">
    <w:name w:val="List 3"/>
    <w:basedOn w:val="Normal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eastAsia="Calibri" w:ascii="Times New Roman" w:hAnsi="Times New Roman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Noto Serif CJK SC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8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0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2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Style3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</w:style>
  <w:style w:type="numbering" w:styleId="29" w:customStyle="1">
    <w:name w:val="Стиль2"/>
    <w:uiPriority w:val="9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AlterOffice/2025.3.0.0$Linux_X86_64 LibreOffice_project/4ba31b6a4271509a884f95065d0a726e9cb2bdbb</Application>
  <AppVersion>15.0000</AppVersion>
  <DocSecurity>4</DocSecurity>
  <Pages>2</Pages>
  <Words>359</Words>
  <Characters>2591</Characters>
  <CharactersWithSpaces>2935</CharactersWithSpaces>
  <Paragraphs>17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2022-12-14T01:30:00Z</dcterms:created>
  <dc:creator>Быстров Олег Геннадьевич</dc:creator>
  <dc:description/>
  <dc:language>ru-RU</dc:language>
  <cp:lastModifiedBy>chuvashev_vb@DGK.RU</cp:lastModifiedBy>
  <dcterms:modified xsi:type="dcterms:W3CDTF">2026-01-30T16:35:11Z</dcterms:modified>
  <cp:revision>20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